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9</w:t>
      </w:r>
    </w:p>
    <w:p>
      <w:r>
        <w:t>Bundesgericht (BGE), 2021-01-01, DE</w:t>
      </w:r>
    </w:p>
    <w:p>
      <w:r>
        <w:rPr>
          <w:b/>
        </w:rPr>
        <w:t xml:space="preserve">Quelle: </w:t>
      </w:r>
      <w:r>
        <w:t>https://mcp.opencaselaw.ch/entscheid/bge_147 IV 9</w:t>
      </w:r>
    </w:p>
    <w:p>
      <w:r>
        <w:t>FR: ATF 147 IV 9</w:t>
      </w:r>
    </w:p>
    <w:p>
      <w:r>
        <w:t>IT: DTF 147 IV 9</w:t>
      </w:r>
    </w:p>
    <w:p>
      <w:pPr>
        <w:pStyle w:val="Heading2"/>
      </w:pPr>
      <w:r>
        <w:t>Regeste</w:t>
      </w:r>
    </w:p>
    <w:p>
      <w:r>
        <w:t>Regeste Art. 141 Abs. 2 StPO; Art. 260 Abs. 1 StGB; Verwertbarkeit rechtswidrig erlangter Videoaufnahmen bei Landfriedensbruch. Für die Frage, ob eine schwere Straftat im Sinne von Art. 141 Abs. 2 StPO vorliegt, ist nicht das abstrakt angedrohte Strafmass, sondern die Schwere der konkreten Tat entscheidend (E. 1.4.2). Das öffentliche Interesse an der Wahrheitsfindung und der Verwertbarkeit von Beweismitteln wiegt bezogen auf den Tatbestand des Landfriedensbruchs grundsätzlich schwer (E. 1.4.3). Für die Bewertung der Schwere dieser Tat ist nicht nur der individuelle Tatbeitrag der beschuldigten Person, sondern sind die gesamten Umstände mitsamt den durch die weiteren Teilnehmer begangenen Gewalttätigkeiten massgebend. Im Ergebnis verletzt die Vorinstanz kein Bundesrecht, indem sie den vorliegenden Landfriedensbruch als schwere Straftat nach Art. 141 Abs. 2 StPO qualifiziert und das öffentliche Interesse an der Aufklärung dieser Tat höher als dasjenige des Beschwerdeführers an der rechtskonformen Erhebung resp. Unverwertbarkeit der privaten Videoaufnahmen gewichtet (E. 1.4.4).</w:t>
      </w:r>
    </w:p>
    <w:p>
      <w:pPr>
        <w:pStyle w:val="Heading2"/>
      </w:pPr>
      <w:r>
        <w:t>Erwägungen</w:t>
      </w:r>
    </w:p>
    <w:p>
      <w:r>
        <w:rPr>
          <w:b/>
        </w:rPr>
        <w:t>E. 1</w:t>
      </w:r>
    </w:p>
    <w:p>
      <w:r>
        <w:t>(...)</w:t>
      </w:r>
    </w:p>
    <w:p>
      <w:r>
        <w:rPr>
          <w:b/>
        </w:rPr>
        <w:t>E. 1.3</w:t>
      </w:r>
    </w:p>
    <w:p>
      <w:r>
        <w:t>Art. 141 Abs. 2 StPO zufolge dürfen Beweise, die Strafbehörden in strafbarer Weise oder unter Verletzung von Gültigkeitsvorschriften erhoben haben, nicht verwertet werden, es sei denn, ihre Verwertung sei zur Aufklärung schwerer Straftaten unerlässlich.</w:t>
      </w:r>
    </w:p>
    <w:p>
      <w:r>
        <w:rPr>
          <w:b/>
        </w:rPr>
        <w:t>E. 1.3.1</w:t>
      </w:r>
    </w:p>
    <w:p>
      <w:r>
        <w:t>Von Privaten rechtswidrig erlangte Beweismittel sind nur verwertbar, wenn sie von den Strafverfolgungsbehörden rechtmässig hätten erlangt werden können und kumulativ dazu eine Interessenabwägung für deren Verwertung spricht. Bei der Interessenabwägung ist derselbe Massstab wie bei staatlich erhobenen Beweisen anzuwenden. Die Verwertung ist damit nur zulässig, wenn dies zur Aufklärung einer schweren Straftat unerlässlich ist ( BGE 146 IV 226 E. 2; Urteil 6B_902/2019 vom 8. Januar 2020 E. 1.2; je mit Hinweisen). Als schwere Straftaten im Sinne des Gesetzes fallen vorab Verbrechen in Betracht ( BGE 146 I 11 E. 4.2; BGE 137 I 218 E. 2.3.5.2; MOREILLON/PAREIN-REYMOND, CPP, Code de procédure pénale, 2. Aufl. 2016, N. 13 zu Art. 141 StPO ). Je schwerer die zu beurteilende Straftat ist, umso eher überwiegt das öffentliche Interesse an der Wahrheitsfindung das private Interesse der beschuldigten Person an der Unverwertbarkeit des fraglichen Beweises ( BGE 131 I 272 E. 4.1.2 S. 279; BGE 130 I 126 E. 3.2; je mit Hinweisen).</w:t>
      </w:r>
    </w:p>
    <w:p>
      <w:r>
        <w:rPr>
          <w:b/>
        </w:rPr>
        <w:t>E. 1.3.2</w:t>
      </w:r>
    </w:p>
    <w:p>
      <w:r>
        <w:t>Das Erstellen von Aufnahmen im öffentlichen Raum, auf denen Personen erkennbar sind, stellt ein Bearbeiten von Personendaten im Sinne von Art. 3 lit. a und lit. e des Bundesgesetzes vom 19. Juni 1992 über den Datenschutz (DSG; SR 235.1) dar (vgl. BGE 138 II 346 E. 6.5). Gemäss Art. 4 Abs. 2 DSG hat ihre Bearbeitung nach Treu und Glauben zu erfolgen und muss verhältnismässig sein. Art. 4 Abs. 4 DSG bestimmt, dass die Beschaffung von BGE 147 IV 9 S. 12 Personendaten und insbesondere der Zweck ihrer Bearbeitung für die betroffene Person erkennbar sein muss. Die Missachtung dieses Grundsatzes stellt eine Persönlichkeitsverletzung dar ( Art. 12 Abs. 2 lit. a DSG ). Eine Persönlichkeitsverletzung im Sinne von Art. 12 DSG ist laut Art. 13 Abs. 1 DSG widerrechtlich, wenn kein Rechtfertigungsgrund - namentlich ein überwiegendes öffentliches oder privates Interesse - vorliegt. Bei der Frage, ob ein Rechtfertigungsgrund gemäss Art. 13 Abs. 1 DSG vorliegt, ist eine Abwägung zwischen den Interessen des Datenbearbeiters und denjenigen der verletzten Person vorzunehmen. Bei der Frage der strafprozessualen Verwertbarkeit eines Beweismittels sind hingegen der Strafanspruch des Staates und der Anspruch der beschuldigten Person auf ein faires Verfahren in erster Linie entscheidend; die Interessen des privaten Datenbearbeiters treten dabei zurück ( BGE 146 IV 226 E. 3 mit Hinweisen).</w:t>
      </w:r>
    </w:p>
    <w:p>
      <w:r>
        <w:rPr>
          <w:b/>
        </w:rPr>
        <w:t>E. 1.4.1</w:t>
      </w:r>
    </w:p>
    <w:p>
      <w:r>
        <w:t>Die Vorinstanz qualifiziert die Videoaufnahmen wie der Beschwerdeführer als von Privaten rechtswidrig erlangte Beweismittel. Der Beschwerdeführer weist im Hinblick auf die Frage der hypothetischen Erreichbarkeit darauf hin, diese könne offen bleiben, da vorliegend die Verwertbarkeit der fraglichen Videos bereits an der Voraussetzung der Tatschwere scheitere. Er rügt damit zumindest nicht rechtsgenügend, dass diese Beweismittel durch die Strafverfolgungsbehörden nicht rechtmässig hätten erlangt werden können (vgl. Art. 42 Abs. 2 BGG ). Demzufolge bleibt in Bezug auf die Verwertbarkeit der Videoaufnahmen zu prüfen, ob die Interessenabwägung für oder gegen eine solche spricht, mithin ob die Tat des Beschwerdeführers als eine schwere Tat im Sinne von Art. 141 Abs. 2 StPO zu qualifizieren ist.</w:t>
      </w:r>
    </w:p>
    <w:p>
      <w:r>
        <w:rPr>
          <w:b/>
        </w:rPr>
        <w:t>E. 1.4.2</w:t>
      </w:r>
    </w:p>
    <w:p>
      <w:r>
        <w:t>Der Gesetzgeber verzichtete darauf, schwere Straftaten im Sinne von Art. 141 Abs. 2 StPO zu definieren. Das Bundesgericht klärte bisher nicht abschliessend, was generell unter diesem Begriff zu verstehen ist (vgl. Urteil 6B_287/2016 vom 13. Februar 2017 E. 2.4.4). Auch in der Lehre finden sich keine Vorschläge für eine Definition und die Ansichten gehen auseinander. Einige Autoren nehmen an, dass ausschliesslich mit Freiheitsstrafe bedrohte Tatbestände schwere Straftaten seien (WOLFGANG WOHLERS in: Kommentar zur Schweizerischen Strafprozessordnung [StPO], Donatsch/Hansjakob/Lieber [Hrsg.], 2. Aufl. 2014, N. 21a zu Art. 141 StPO ; SABINE GLESS, in: Basler Kommentar, Schweizerische Strafprozessordnung, BGE 147 IV 9 S. 13</w:t>
      </w:r>
    </w:p>
    <w:p>
      <w:r>
        <w:rPr>
          <w:b/>
        </w:rPr>
        <w:t>E. 1.4.3</w:t>
      </w:r>
    </w:p>
    <w:p>
      <w:r>
        <w:t>Der Tatbestand des Landfriedensbruchs ist ein Vergehen ( Art. 260 Abs. 1 StGB i.V.m. Art. 10 Abs. 3 StGB ). Die abstrakte Qualifikation ist jedoch entgegen der Auffassung des Beschwerdeführers auch nach der bisherigen bundesgerichtlichen Rechtsprechung nicht ausschliessliches Kriterium zur Beurteilung, ob eine schwere Straftat nach Art. 141 Abs. 2 StPO vorliegt (vgl. E. 1.3.1 hiervor, wonach als schwere Straftaten lediglich vorab Verbrechen in Betracht fallen). Landfriedensbruch als kollektive Gewalttätigkeit verletzt die bestehende, öffentliche Friedensordnung und das Vertrauen in deren Bestand ( BGE 145 IV 433 E. 3.5.3 S. 436; STRATENWERTH/BOMMER, Schweizerisches Strafrecht, Besonderer Teil II: Straftaten gegen Gemeininteressen, 7. Aufl. 2013, § 38 N. 20; je mit Hinweisen). Dabei handelt es sich um gewichtige Rechtsgüter. Hinzu kommt, dass der Tatbestand des Landfriedensbruchs den Beweisschwierigkeiten Rechnung trägt, die sich bei diesem Massendelikt ergeben können (Urteil 6B_862/2017 vom 9. März 2018 E. 1.3.2; GERHARD FIOLKA, in: Basler Kommentar, Strafrecht, Bd. II, 4. Aufl. 2019, N. 6 zu Art. 260 StGB ; TRECHSEL/VEST, in: Schweizerisches Strafgesetzbuch, Praxiskommentar, Trechsel/Pieth [Hrsg.], 3. Aufl. 2018, N. 6 zu Art. 260 StGB ; DONATSCH/THOMMEN/WOHLERS, Strafrecht IV, Delikte gegen die Allgemeinheit, 5. Aufl. 2017, S. 191 f.; STRATENWERTH/BOMMER, a.a.O.; je mit Hinweisen; Sten. Bull. 1921 N 773 [Votum Häberlin]). Diese durch den materiellen Tatbestand von Art. 260 StGB bezweckte prozessuale Entlastung steht dem potentiellen Ansinnen insbesondere derjenigen Täter, deren Handlung über eine einfache Teilnahme am Landfriedensbruch hinausgeht, in der Anonymität der öffentlichen Zusammenrottung unerkannt zu bleiben und sich auf eine Unverwertbarkeit von Videoaufnahmen berufen zu können, entgegen. Das öffentliche Interesse an der Wahrheitsfindung und der Verwertbarkeit von Beweismitteln wiegt bezogen auf diesen Tatbestand folglich grundsätzlich schwer, insbesondere weil es in dessen Rahmen zu schwerwiegenden Gewalttätigkeiten gegen Menschen oder Sachen kommen kann. BGE 147 IV 9 S. 15</w:t>
      </w:r>
    </w:p>
    <w:p>
      <w:r>
        <w:rPr>
          <w:b/>
        </w:rPr>
        <w:t>E. 1.4.4</w:t>
      </w:r>
    </w:p>
    <w:p>
      <w:r>
        <w:t>Weiter ist nicht zu beanstanden, dass die Vorinstanz für die Bewertung der Schwere der Tat die Umstände der Demonstration als solche und nicht bloss das isolierte Verhalten des Beschwerdeführers resp. dessen blosse Teilnahme und individuellen Tatbeitrag am Landfriedensbruch als massgebend erachtet. Denn den Tatbestand von Art. 260 StGB erfüllt auch derjenige, welcher an der Zusammenrottung lediglich teilnimmt, ohne selbst Gewalttätigkeiten zu begehen und für die Erfüllung dieser objektiven Strafbarkeitsbedingung reicht es aus, dass ein einzelner Teilnehmer solche Handlungen verübt, sofern sie als von der die öffentliche Ordnung bedrohenden Grundstimmung der Zusammenrottung getragen wird (vgl. BGE 124 IV 269 E. 2b S. 271 mit Hinweisen). Der Umstand, dass dem Beschwerdeführer kein aktiver Beitrag an Gewalttätigkeiten vorgeworfen wird und die Vorinstanzen in Anwendung von Art. 52 StGB von einer Bestrafung Umgang nahmen, ist bei der Beurteilung seines Verschuldens im Rahmen der Strafzumessung zu berücksichtigen. Für die Frage, ob mit dem Landfriedensbruch eine schwere Straftat im Sinne von Art. 141 Abs. 2 StPO vorliegt und für die Interessenabwägung ist das Ausmass seines individuellen Tatbeitrags hingegen nicht entscheidend. Die konkrete Beteiligung des Beschwerdeführers lässt sich denn auch erst abschliessend beurteilen, nachdem über die Verwertbarkeit der Videoaufnahmen entschieden wurde. Im Ergebnis verletzt die Vorinstanz kein Bundesrecht, indem sie den vorliegenden Landfriedensbruch als schwere Straftat qualifiziert und das öffentliche Interesse an der Aufklärung dieser Tat höher als dasjenige des Beschwerdeführers an der rechtskonformen Erhebung resp. Unverwertbarkeit der privaten Videoaufnahmen gewichtet. Über die vorinstanzlichen Erwägungen hinaus (vgl. nicht publ. E. 1.2) ist darauf hinzuweisen, dass nicht etwa der Geheim- oder Privatbereich des Beschwerdeführers, sondern lediglich seine - laut vorinstanzlicher Feststellung bewusste - Teilnahme an einer unbewilligten Demonstration auf öffentlichem Grund gefilmt wurde. Die Vorinstanz durfte deshalb die aus den Videoaufnahmen der Hotel E. AG gewonnenen Erkenntnisse auch zu Lasten des Beschwerdeführers verwenden und dessen Beschwerde ist in diesem Punkt abzuweisen.</w:t>
      </w:r>
    </w:p>
    <w:p>
      <w:r>
        <w:rPr>
          <w:b/>
        </w:rPr>
        <w:t>E. 2</w:t>
      </w:r>
    </w:p>
    <w:p>
      <w:r>
        <w:t>Aufl. 2014, N. 72 zu Art. 141 StPO ; LEU/STÜCKELBERGER, forum poenale 2020 S. 138). Demnach kämen Vergehen von vornherein nicht in Betracht und lediglich Verbrechen, die nicht zusätzlich mit Geldstrafe bedroht werden, stellten schwere Straftaten dar. Auch die Ansicht, es kämen nur Extremfälle oder Straftaten mit hoher Mindeststrafe in Betracht, wird vertreten (vgl. MARK PIETH, Schweizerisches Strafprozessrecht, 3. Aufl. 2016, S. 195), womit ein ungeklärter Begriff indessen bloss mit ebensolchen ersetzt würde. Laut anderen Lehrmeinungen seien schwere Straftaten sodann einzig solche, die in gewissen Deliktskatalogen der Strafprozessordnung genannt werden (MOREILLON/PAREIN-REYMOND, a.a.O., N. 13 zu Art. 141 CPP; DONATSCH/CAVEGN, Ausgewählte Fragen zum Beweisrecht nach der Schweizerischen Strafprozessordnung, ZStrR 126/2008 S. 166). Ein auf der abstrakten Höchststrafe basierender Ansatz überzeugt insbesondere deshalb nicht, weil der Gesetzgeber in Art. 141 Abs. 2 StPO explizit den Begriff schwere Straftaten (infractions graves, gravi reati) und nicht wie in zahlreichen weiteren Bestimmungen der Strafprozessordnung die in Art. 10 StGB anhand der angedrohten Höchststrafe bestimmten Begriffe Verbrechen oder Vergehen (crimes et délits, crimini e delitti) verwendet. Auch einen Deliktskatalog sieht er in Art. 141 StPO im Gegensatz etwa zu Art. 168 Abs. 4 lit. a StPO , Art. 172 Abs. 2 lit. b StPO , Art. 269 Abs. 2 StPO oder Art. 286 Abs. 2 StPO gerade nicht vor. Überzeugender ist die Lehrmeinung, wonach nicht generell gewisse Tatbestände und deren abstrakte Strafandrohungen, sondern die gesamten Umstände des konkreten Falls zu berücksichtigen sind (vgl. JÉRÔME BÉNÉDICT, in: Commentaire romand, Code de procédure pénale suisse, Jeanneret/Kuhn/Perrier Depeursinge [Hrsg.], 2. Aufl. 2019, N. 25 zu Art. 141 CPP). Zwar kann ein Abstellen auf abstrakt angedrohte Strafen oder abschliessende Deliktskataloge die Prüfung der Verwertbarkeit von Beweismitteln erleichtern. Eine solche vom Gesetzgeber wie dargelegt nicht beabsichtigte und starre Entscheidfindung würde jedoch überdies dazu führen, dass im Einzelfall leichte Verbrechen anders behandelt würden als schwerwiegende Vergehen, obwohl die konkrete Strafe für Letztere um ein Vielfaches höher ausfallen kann. Dies stünde im Widerspruch mit dem vom Gesetzgeber gewollten Grundsatz der Individualisierung und dem weiten Ermessensspielraum des Sachgerichts bei der Strafzumessung (vgl. BGE 141 IV 61 E. 6.3.2 S. 69; BGE 135 IV 191 E. 3.1), anlässlich welcher die Schwere der Tat zu bewerten ist. Das Sachgericht muss BGE 147 IV 9 S. 14 den konkreten Umständen Rechnung tragen können. Entscheidend ist deshalb nicht das abstrakt angedrohte Strafmass, sondern die Schwere der konkreten Tat. Dabei kann auf Kriterien wie das geschützte Rechtsgut, das Ausmass dessen Gefährdung resp. Verletzung, die Vorgehensweise und kriminelle Energie des Täters oder das Tatmotiv abgestellt werden (vgl. BGE 142 IV 289 E. 2.3; BGE 141 IV 459 E. 4.1 S. 462;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